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8867c65e827410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26049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FARKAŠEVAC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457.943,32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763.848,12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382.536,45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504.891,57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75.406,87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258.956,55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19.050,35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52.794,99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91.928,56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48.474,93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72.878,21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26.931,94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186.078,34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690,9</w:t>
            </w:r>
          </w:p>
        </w:tc>
      </w:tr>
    </w:tbl>
    <w:p>
      <w:pPr>
        <w:spacing w:before="0" w:after="0"/>
      </w:pPr>
    </w:p>
    <w:p>
      <w:pPr>
        <w:jc w:val="both"/>
        <w:pStyle w:val="Normal"/>
        <w:spacing w:line="240" w:lineRule="auto"/>
      </w:pPr>
      <w:r>
        <w:rPr>
          <w:sz w:val="24"/>
          <w:rFonts w:ascii="Times New Roman" w:hAnsi="Times New Roman"/>
        </w:rPr>
        <w:t>IBAN:HR2923600001853600008
RKP: 26049
OIB: 13211120182
ŠIFRA DJELATNOSTI: 8411
ŠIFRA OPĆINE: 114
MATIČNI BROJ:02580586 
Razina: 22
BILJEŠKE UZ FINANCIJSKI IZVJEŠTAJ ZA RAZDOBLJE 01.01.-30.06. 2025. GODINE
BILJEŠKE UZ PR-RAS IZVJEŠTAJ:
Obrazloženje Prihoda:
U odnosu na prethodnu godinu ukupni prihodi uvećani su za 66,8 % , a povećanje se vidi u skoro svim stavkama. Porez na dohodak od nesamostalnog rada viši je za 27,5 %. Osim Poreza na dohodak povećani su i porez na promet nekretnina i porez na potrošnju a na te prihode jedinica lokalne samouprave nema utjecaj. Pomoći proračunu iz inozemstva i od subjekata unutar općeg proračuna iznose 474.088,61 što je povećanje u odnosu na prethodno razdoblje za 105%. Radi se o tekućim i kapitalnim pomoćima iz Županijskog i Državnog proračuna. Razlika u odnosu na prethodno razdoblje je isplata sredstava iz Županijskog proračuna za provedbu Lokalnih izbora, te isplata kapitalnih pomoći za provedbu projekata koji su završeni početkom 2025. godine radi se o projektima koji su započeti u 2024. godini ,te je isplata izvršena nakon podnošenja Izvještaja ili su sredstava uplaćena i prije dovršetka projekata. Za projekat Izgradnja i opremanje tržnice koji je započet i dovršen u 2024. godini sredstva iz Županijskog proračuna isplaćena su u prvom kvartalu 2025. godine. 
U odnosu na prethodnu godinu evidentirano je i povećane pomoći Fiskalnog izravnanja i Pomoći za fiskalnu održivost dječjih vrtića.
Općina Farkaševac ima jednog proračunskog korisnika Dječji vrtić Crvenkapica Farkaševac i valja istaknuti kako u 2025. godini oba subjekta posluju preko vlastitih poslovnih računa, planira se prelazak u punu riznicu s početkom 2026. godine.
Prihodi od prodaje nefinancijske imovine u 2025. godinu veći su za 341% iz razloga što je u zadnjem kvartalu 2024. godine bio proveden natječaj za prodaju ošasne imovine, koji je realiziran početkom 2025. godine odnosno uplate kupoprodajne cijene dogodile su se početkom 2025. godine pa su i prihodi zbog toga ovo izvještajno razdoblje veći nego prethodnog izvještajnog razdoblja.
Obrazloženje Rashoda:
Rashodi Općine Farkaševac iznose 504.891,57 eura što je u odnosu na prethodno izvještajno razdoblje uvećanje za 32 %.  Povećanje rashoda vidi se na rashodima za usluge za 20,1% čemu su razlozi općenita povećanja cijena usluga dobavljača. Povećanje rashoda za rad predstavničkih i izvršnih tijela , povjerenstava i slično najvećim dijelom odnosi se na troškove provedbe Lokalnih izbora kojih nije bilo u prethodnom izvještajnom razdoblju. 
Pomoći dane u inozemstvo i unutar općeg proračuna bilježe povećanje od 45,1%. Odnosi se na povećanje prijenosa proračunskim korisnicima iz nadležnog proračuna za financiranje rashoda poslovanja. Općina Farkaševac ima jednog proračunskog korisnika i sredstva koja im dodjeljuje su sredstva za financiranje plaća zaposlenika koje su u prvom polugodištu rasle za cca 25%, te su bila potrebna dodatna privremena zapošljavanja zbog korištenja bolovaja i/ili porodiljnih dopusta.
Rahodi za nabavu proizvedene dugotrajne imovine manji su za 23,6% u odnosu na prethodno izvještajno razdoblje jer nije bilo ulaganja kao u istom razdoblju prethodne godine.
Rashodi za dodatna ulaganja na nefinancijskoj imovini uvećani su za 462,5% u odnosu na prethodno izvještajno razdoblje. Razlog tome su provedeni projekti u uređenje postojećig građevina: Društveni dom u Mačkima, Društveni dom u Zvoniku, provođenje elektoinstalacije i plinske instalacije na zgradi Vatrogasnog doma u Farkaševcu, te uređenje nogometnog terena NK Farkaš popratnim sadržajima čime se povećala vrijednost dugotrajnoj nefinancijskoj imovini.
Općina Farkaševac nema iskazane Primitke od financijske imovine i zaduživanja te isto tako nema iskazane Izdatke za financijsku imovinu i otplate zajmova.
Rezultat razdoblja iznosi 186.078,34 eura a što s prenesenim viškom iz prethodnog razdoblja iznosi ukupno 739.061,38 eura koji su Proračunom Općine Farkaševac raspodjeljeni na rashode u 2025. godini.</w:t>
      </w:r>
    </w:p>
    <w:p>
      <w:r>
        <w:br/>
      </w:r>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obveza na početku izvještajnog razdoblja iznosi 78.459,97 eura. Tijekom izvještajnog razdoblja došlo je do povećanja obveza u iznosu  457.908,13 eura. Podmirene obveze u izvještajnom razdoblju iznose 535816,49 eura.
stanje obveza na kraju izvještajnog razdoblja iznosi 551,61 euro što je obveza za povrat uplaćenog Jamčevnog pologa koji je uplaćen po Javnom natječaju za prodaju ošasne imovine. Iznos će po sklopljenom Ugovoru o kupoprodaji biti uračunat u kupoprodajnu cijenu za kupljenu/prodanu nekretninu.
Općina Farkaševac uredno i na vrijeme podmiruje sve svoje obaveze.</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4450066b1464933" /></Relationships>
</file>