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1f60f72e0420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26049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FARKAŠEVAC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495.308,33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802.860,76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412.544,42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543.734,80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82.763,91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259.125,96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4.320,06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19.050,35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52.842,99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92.179,81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48.522,93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73.129,46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34.240,98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185.996,50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Farkaševac ima jednog Proračunskog korisnika Dječji vrtić Crvenkapica Farkaševac.
Ukupni prihodi poslovanja iznose:
Općina Farkaševac 763.848,12 eura
Dječji vrtić Crvenkapica Farkaševac 39.012,64 eura
Ukupni rashodi iznose:
Općina Farkaševac 366.521,32 eura
Dječji vrtić Crvenkapica Farkaševac 177.213,48 eura
Višak prihoda raspoloživ u sljedećem Izvještajnom razdoblju:
Općina Farkaševac 739.061,38 eura
Dječji vrtić Crvenkapica Farkaševac 9.932,48
Višak prihoda i primitaka:
Općina Farkaševac - 186.078,34 eura
Dječji vrtić Crvenkapica Farkaševac ima manjak  prihoda i primitaka 81,84
pa konsolidirani iznos je 185.996,50 eura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Farkaševac nema iskazanih dospjelih obveza na kraju izvještajnog razdoblja jer svoje obveze podmiruje uredno i na vrijeme.
Isto tako niti Dječji vrtić Crvenkapica Farkaševac nema iskazanih dopsjelih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Unutargrupne transakcije koje su u izvještajima eliminirane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Unutar grupne eliminacije koje su u konsolidiranom izvještaju eliminirane su :
Kod Dječjeg vrtića Crvenkapica Farkaševac konto 6711 - 138.370,25 eura
Kod Općine Farkaševac konto 3672 - 138.370,25 eura
Iznos 138.370,25 eura utrošen je za ukupni trošak plaće kod Proračunskog korisnika (svi zaposleni) do 30.06.2025. godine
U odnosu na prethodno izvještajno razdoblje veći je za 45,9% iz razloga što je došlo do povećanja plaća kod Proračunskog korisnika te je bilo dodatnih zapošljavanja zbog korištenja dopusta trudnih radnica te korištenja porodiljnog i roditeljskog dopusta.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Manjak ili višak u poslovanju grupe i pregled strukture manjka/viška po proračunskim korisnicima 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Farkaševac ima iskazan višak prihoda i primitaka u sljedećem izvještajnom razdoblju 739.061,38 eura
višak izvještajnog razdoblja iznosi  186.078,34 eura a preneseni višak iz prethodnih razdoblja iznosi: 552.983,04 eura.
Ukupni višak poslovanja iznosi 739.061,38 eura
Dječji vrtić Crvenkapica Farkaševac ima iskazan manjak prihoda i primitaka izvještajnog razdoblja u iznosu od 81,84 eura, a preneseni višak prihoda i primitaka iznosi 10.014,32 eura pa ukupni višak poslovanja iznosi 9.932,48 eura.
Konsolidirani preneseni višak poslovanja iznosi 748.993,86 eura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ecde0bda83454a" /></Relationships>
</file>