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d4adbdb748434c" /></Relationships>
</file>

<file path=word/document.xml><?xml version="1.0" encoding="utf-8"?>
<w:document xmlns:w="http://schemas.openxmlformats.org/wordprocessingml/2006/main">
  <w:body>
    <w:tbl>
      <w:tblPr>
        <w:tblW w:w="9000" w:type="dxa"/>
        <w:tblBorders>
          <w:top w:val="nil"/>
          <w:bottom w:val="nil"/>
          <w:left w:val="nil"/>
          <w:right w:val="nil"/>
          <w:insideH w:val="nil"/>
          <w:insideV w:val="nil"/>
        </w:tblBorders>
        <w:tblCellSpacing w:w="60" w:type="dxa"/>
        <w:shd w:val="clear" w:color="auto" w:fill="E7F0F9"/>
      </w:tblPr>
      <w:tblGrid>
        <w:gridCol w:w="1200"/>
        <w:gridCol w:w="4500"/>
      </w:tblGrid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RKP broj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26049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Naziv obveznika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OPĆINA FARKAŠEVAC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Razina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22</w:t>
            </w:r>
          </w:p>
        </w:tc>
      </w:tr>
    </w:tbl>
    <w:p>
      <w:r>
        <w:br/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BILJEŠKE UZ FINANCIJSKE IZVJEŠTAJE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ZA RAZDOBLJE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I - VI 2026.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prihodima i rashodima, primicima i izdacima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0" w:type="auto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POSLOVANJA (šifre 61+62+63+64+65+66+67+68)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763.848,12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802.374,73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105,0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POSLOVANJA (šifre 31+32+34+35+36+37+38)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504.891,57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560.076,04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110,9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 PRIHODA POSLOVANJA (šifre 6-Z005)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258.956,55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242.298,69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93,6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prodaje nefinancijske imovine (šifre 71+72+73+74)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19.050,35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5.407,96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28,4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nabavu nefinancijske imovine (šifre 41+42+43+44+45)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91.928,56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90.088,09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98,0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OD NEFINANCIJSKE IMOVINE (šifre 4-7)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72.878,21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84.680,13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116,2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Primici od financijske imovine i zaduživanja (šifre 81+82+83+84+85)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Izdaci za financijsku imovinu i otplate zajmova (šifre 51+52+53+54+55)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VIŠAK/MANJAK PRIMITAKA OD FINANCIJSKE IMOVINE I ZADUŽIVANJA (šifre 8-5, 5-8)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X003, Y003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 PRIHODA I PRIMITAKA (šifre X678-Y345)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186.078,34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157.618,56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84,7</w:t>
            </w:r>
          </w:p>
        </w:tc>
      </w:tr>
    </w:tbl>
    <w:p>
      <w:pPr>
        <w:spacing w:before="0" w:after="0"/>
      </w:pPr>
    </w:p>
    <w:p>
      <w:r>
        <w:t xml:space="preserve">Općina Farkaševac u tekućem izvještajnom razdoblju ima iskazan višak poslovanja tekućeg razdoblja u iznosu 157.618,56 eura.</w:t>
      </w:r>
    </w:p>
    <w:p>
      <w:r>
        <w:t xml:space="preserve">Višak prihoda poslovanja preneseni iznosi 482.543,02 eura pa ukupan višak poslovanja raspoloživ u sljedećem razdoblju iznosi 640.161,58 eura.</w:t>
      </w:r>
    </w:p>
    <w:p>
      <w:r>
        <w:t xml:space="preserve">Općina Farkaševac ima jednog proračunskog korisnika.</w:t>
      </w:r>
    </w:p>
    <w:p>
      <w:r>
        <w:br/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6111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Porez na dohodak od nesamostalnog rada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6111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153.049,39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221.889,32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145,0</w:t>
            </w:r>
          </w:p>
        </w:tc>
      </w:tr>
    </w:tbl>
    <w:p>
      <w:pPr>
        <w:spacing w:before="0" w:after="0"/>
      </w:pPr>
    </w:p>
    <w:p>
      <w:r>
        <w:t xml:space="preserve">Prihodi od poreza na dohodak veći su u tekućem izvještajnom razdoblju za 45% u odnosu na prethodno izvještajno razdoblje prošle godine, najvjerojatnije zbog povećanje plaća pa posljedično tome raste i prihod poreza na dohodak od nesamostalnog rada.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613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Porezi na imovinu (šifre 6131 do 6135)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613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12.711,53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17.919,29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141,0</w:t>
            </w:r>
          </w:p>
        </w:tc>
      </w:tr>
    </w:tbl>
    <w:p>
      <w:pPr>
        <w:spacing w:before="0" w:after="0"/>
      </w:pPr>
    </w:p>
    <w:p>
      <w:r>
        <w:t xml:space="preserve">Porezi na imovinu također bilježe porast u odnosu na izvještaj iz 2025. godine. Najveći porast bilježi porez na promet nekretnina za čak 39,7 %. Za Općinu Farkaševac poslove vezane uz lokalne poreze obavlja porezna uprava.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Pomoći iz inozemstva i od subjekata unutar općeg proračuna (šifre 631+632+633+634+635+636+637+638+639)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474.088,61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368.167,00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77,7</w:t>
            </w:r>
          </w:p>
        </w:tc>
      </w:tr>
    </w:tbl>
    <w:p>
      <w:pPr>
        <w:spacing w:before="0" w:after="0"/>
      </w:pPr>
    </w:p>
    <w:p>
      <w:r>
        <w:t xml:space="preserve">Pomoći iz inozemstva i od subjekata unutar općeg proračuna iznose 368.167,00 eura te se odnose na tekuće pomoći proračunu 89.995,20 eura (tekuće pomoći iz državnog i iz županijskog proračuna), kapitalne pomoći iz županijskih proračuna 70.000,00 eura ( projekti uređenja parkirališta, te za uređenje društvenog doma), te pomoći fiskalnog izravnanja 208.171,80 eura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imovine (šifre 641+642+643)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4.974,75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12.043,92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242,1</w:t>
            </w:r>
          </w:p>
        </w:tc>
      </w:tr>
    </w:tbl>
    <w:p>
      <w:pPr>
        <w:spacing w:before="0" w:after="0"/>
      </w:pPr>
    </w:p>
    <w:p>
      <w:r>
        <w:t xml:space="preserve">Prihodi od zakupa i iznajmljivanja imovine veći su za 142,10% u odnosu na izvještajno razdoblje iz 2025. godine. Zakup poljoprivrednog zemljišta 759,96 eura, zakup poslovnih objekata 9.728,93 eura te ostali prihodi od zakupa 1.555,03 eura.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upravnih i administrativnih pristojbi, pristojbi po posebnim propisima i naknada (šifre 651+652+653+654)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115.412,06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179.207,78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155,3</w:t>
            </w:r>
          </w:p>
        </w:tc>
      </w:tr>
    </w:tbl>
    <w:p>
      <w:pPr>
        <w:spacing w:before="0" w:after="0"/>
      </w:pPr>
    </w:p>
    <w:p>
      <w:r>
        <w:t xml:space="preserve">Prihodi od upravnih i administrativnih pristojbi, pristojbi po posebnim propisima i naknada viši su za 55,3% u odnosu na 2025. godinu. Najviši prihod je šumski doprinos koji je ostvaren u iznosu 161.233,31 euro, dok upravne i administrativne pristojbe iznose 4.967,53 eura, te komunalni doprinosi i naknade iznose 13.006,94 eura.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7.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POSLOVANJA (šifre 31+32+34+35+36+37+38)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504.891,57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560.076,04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110,9</w:t>
            </w:r>
          </w:p>
        </w:tc>
      </w:tr>
    </w:tbl>
    <w:p>
      <w:pPr>
        <w:spacing w:before="0" w:after="0"/>
      </w:pPr>
    </w:p>
    <w:p>
      <w:r>
        <w:t xml:space="preserve">Rashodi poslovanja viši su u odnosu na 2025. godinu za 10,9 %.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8.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zaposlene (šifre 311+312+313)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65.790,19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114.905,43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174,7</w:t>
            </w:r>
          </w:p>
        </w:tc>
      </w:tr>
    </w:tbl>
    <w:p>
      <w:pPr>
        <w:spacing w:before="0" w:after="0"/>
      </w:pPr>
    </w:p>
    <w:p>
      <w:r>
        <w:t xml:space="preserve">Rashodi za zaposlene viši su za 44,7 % iz razloga što Općinski načelnik u 2026. godini svoju dužnost obavlja profesionalno dok je 2025. godine obavljao volonterski.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9.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Komunalne usluge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9.432,50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44.572,95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472,5</w:t>
            </w:r>
          </w:p>
        </w:tc>
      </w:tr>
    </w:tbl>
    <w:p>
      <w:pPr>
        <w:spacing w:before="0" w:after="0"/>
      </w:pPr>
    </w:p>
    <w:p>
      <w:r>
        <w:t xml:space="preserve">Značajan rast komunalnih usluga u odnosu na 2025. godinu je iz razloga promjene koncesionara za odvoz i zbrinjavanje komunalnog otpada.</w:t>
      </w:r>
    </w:p>
    <w:p>
      <w:r>
        <w:t xml:space="preserve">Trgovačko društvo u djelomičnom vlasništvu Općine Farkaševac vrši odvoz i zbrinjavanje otpada, trošak se odnosi na zbrinjavanje i odvoz otpada iz Reciklažnog dvorišta koji se do sredine 2025. godine nije naplaćivao.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10.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Ostali nespomenuti rashodi poslovanja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10,98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130,65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1189,9</w:t>
            </w:r>
          </w:p>
        </w:tc>
      </w:tr>
    </w:tbl>
    <w:p>
      <w:pPr>
        <w:spacing w:before="0" w:after="0"/>
      </w:pPr>
    </w:p>
    <w:p>
      <w:r>
        <w:t xml:space="preserve">Ostali nespomenuti troškovi uvećani su u odnosu na 2025. godinu zbog podmirenja troškova manifestacije advent koji su nastali u 2025. godini ali su dobavljači fakture  ispostavili u 2026. godini.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363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Pomoći drugom proračunu i izvanproračunskim korisnicima (šifre 3631 do 3636)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363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518,89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1.752,50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337,7</w:t>
            </w:r>
          </w:p>
        </w:tc>
      </w:tr>
    </w:tbl>
    <w:p>
      <w:pPr>
        <w:spacing w:before="0" w:after="0"/>
      </w:pPr>
    </w:p>
    <w:p>
      <w:r>
        <w:t xml:space="preserve">Troškovi pomoći drugom proračunu uvećani su za 237,7% u odnosu na 2025. godinu. Radi se o renti za zbrinjavanje komunalnog otpada Gradu Vrbovcu.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367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Prijenosi proračunskim korisnicima iz nadležnog proračuna za financiranje redovne djelatnosti (šifre 3672 do 3674)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367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138.370,25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166.335,35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120,2</w:t>
            </w:r>
          </w:p>
        </w:tc>
      </w:tr>
    </w:tbl>
    <w:p>
      <w:pPr>
        <w:spacing w:before="0" w:after="0"/>
      </w:pPr>
    </w:p>
    <w:p>
      <w:r>
        <w:t xml:space="preserve">Prijenosi proračunskom korisniku uvećani su za 20,2% u odnosu na 2025. godinu iz razloga povećanja osnovice za plaće te se i druga prava iz radnog odnosa financiraju iz Izvora nadležnog proračuna.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4227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Uređaji, strojevi i oprema za ostale namjene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4227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32.217,62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1.091,95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3,4</w:t>
            </w:r>
          </w:p>
        </w:tc>
      </w:tr>
    </w:tbl>
    <w:p>
      <w:pPr>
        <w:spacing w:before="0" w:after="0"/>
      </w:pPr>
    </w:p>
    <w:p>
      <w:r>
        <w:t xml:space="preserve">Trošak konta 4227 manji je za 96,6% u odnosu na isto razdoblje 2025. godine jer se u 2025. nabavila oprema za kuhinju i blagovaonu Vatrogasnog doma u Farkaševcu.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dodatna ulaganja na nefinancijskoj imovini (šifre 451 do 454)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59.710,94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77.293,75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129,4</w:t>
            </w:r>
          </w:p>
        </w:tc>
      </w:tr>
    </w:tbl>
    <w:p>
      <w:pPr>
        <w:spacing w:before="0" w:after="0"/>
      </w:pPr>
    </w:p>
    <w:p>
      <w:r>
        <w:t xml:space="preserve">Rashodi za dodatna ulaganja na nefinancijskoj imovini odnose se na ulaganja u uređenje hodnika u Općinskog zgradi, Vanjsko uređenje Vatrogasnog doma u Farkaševacu, trošak privremene situacije uređenja društvenog doma u Kablu.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Prosječan broj zaposlenih u tijelima na osnovi stanja na početku i na kraju izvještajnog razdoblja (cijeli broj)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Z006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120,0</w:t>
            </w:r>
          </w:p>
        </w:tc>
      </w:tr>
    </w:tbl>
    <w:p>
      <w:pPr>
        <w:spacing w:before="0" w:after="0"/>
      </w:pPr>
    </w:p>
    <w:p>
      <w:r>
        <w:t xml:space="preserve">Razlika u broju zaposlenih osoba u tijelima odnosi se na činjenicu da Općinski načelnik od kolovoza 2025. godine svoju dužnost počinje obavljati profesionalno. dok je do tada obavljao volonterski.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obvezama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Iznos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/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Stanje dospjelih obveza na kraju izvještajnog razdoblja (šifre V008+D23+D24 + 'D dio 25,26' + D27)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V007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Općina Farkaševac u tekućem izvještajnom razdoblju nema iskazane dospjele obveze. </w:t>
      </w:r>
    </w:p>
    <w:p>
      <w:r>
        <w:t xml:space="preserve">Općina ima iskazane nedospjele obveze u iznosu 38.135,09 eura.</w:t>
      </w:r>
    </w:p>
    <w:p>
      <w:r>
        <w:t xml:space="preserve"> Po strukturi obveze se odnose na obveze za rashode poslovanja, odnosno odnose se na obveze za zaposlene 19.609,53 (3 službenice, 2 namještenika, 1 dužnosnik), obveze za materijalne rashode 2.265,04 eura te obveze za naknade građanima i kućanstvima u iznosu 144,76 eura, te obveze za dodatna ulaganja na nefinancijskoj imovini u iznosu 16.115,76 eura.</w:t>
      </w:r>
    </w:p>
    <w:p/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</w:rPr>
    </w:rPrDefault>
  </w:docDefaults>
  <w:style w:type="paragraph" w:styleId="Normal" w:default="true">
    <w:name w:val="Normal"/>
    <w:rPr>
      <w:rFonts w:ascii="Times New Roman" w:hAnsi="Times New Roman"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d1bd57a5eec42d9" /></Relationships>
</file>